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466C" w14:textId="45E104E7" w:rsidR="00E2638D" w:rsidRDefault="00A96608" w:rsidP="00D9451C">
      <w:pPr>
        <w:pStyle w:val="Heading1"/>
        <w:spacing w:before="72" w:line="312" w:lineRule="auto"/>
        <w:ind w:left="0" w:hanging="18"/>
        <w:jc w:val="center"/>
      </w:pPr>
      <w:r>
        <w:t xml:space="preserve">BUDGET AMENDMENT FOR </w:t>
      </w:r>
      <w:r w:rsidR="00547B2C">
        <w:t>FINANCIAL PROJECT</w:t>
      </w:r>
      <w:r w:rsidR="00D9451C">
        <w:t xml:space="preserve"> P</w:t>
      </w:r>
      <w:r w:rsidR="000F30A1">
        <w:t>LAN</w:t>
      </w:r>
      <w:r>
        <w:t xml:space="preserve"> FOR </w:t>
      </w:r>
      <w:r w:rsidR="00FD2CF7">
        <w:t>INDEPENDENT SCHOOLS INFRASTRUCTURE PROGRAM</w:t>
      </w:r>
    </w:p>
    <w:p w14:paraId="0A5D8936" w14:textId="51649F8D" w:rsidR="00D9451C" w:rsidRDefault="000F30A1" w:rsidP="00F972B5">
      <w:pPr>
        <w:pStyle w:val="BodyText"/>
        <w:spacing w:before="140"/>
        <w:ind w:left="136"/>
        <w:jc w:val="both"/>
      </w:pPr>
      <w:r w:rsidRPr="00E4790F">
        <w:t>This document</w:t>
      </w:r>
      <w:r w:rsidR="00D9451C" w:rsidRPr="00E4790F">
        <w:t xml:space="preserve"> is to be completed </w:t>
      </w:r>
      <w:r w:rsidR="007E463C" w:rsidRPr="00E4790F">
        <w:t xml:space="preserve">by the </w:t>
      </w:r>
      <w:r w:rsidR="00D9451C" w:rsidRPr="00E4790F">
        <w:t xml:space="preserve">subrecipient. </w:t>
      </w:r>
      <w:r w:rsidR="00D90253" w:rsidRPr="00E4790F">
        <w:t>The information should</w:t>
      </w:r>
      <w:r w:rsidRPr="00E4790F">
        <w:t xml:space="preserve"> include planned responses for </w:t>
      </w:r>
      <w:proofErr w:type="gramStart"/>
      <w:r w:rsidRPr="00E4790F">
        <w:t>use</w:t>
      </w:r>
      <w:proofErr w:type="gramEnd"/>
      <w:r w:rsidRPr="00E4790F">
        <w:t xml:space="preserve"> of ARPA funding to be passed thro</w:t>
      </w:r>
      <w:r w:rsidR="003E726E">
        <w:t xml:space="preserve">ugh to eligible </w:t>
      </w:r>
      <w:r w:rsidR="00FD2CF7">
        <w:t xml:space="preserve">independent schools </w:t>
      </w:r>
      <w:r w:rsidRPr="00E4790F">
        <w:t>in Mississippi.</w:t>
      </w:r>
      <w:r w:rsidR="00D90253" w:rsidRPr="00E4790F">
        <w:t xml:space="preserve"> </w:t>
      </w:r>
    </w:p>
    <w:tbl>
      <w:tblPr>
        <w:tblStyle w:val="TableGrid"/>
        <w:tblW w:w="0" w:type="auto"/>
        <w:tblInd w:w="496" w:type="dxa"/>
        <w:tblLook w:val="04A0" w:firstRow="1" w:lastRow="0" w:firstColumn="1" w:lastColumn="0" w:noHBand="0" w:noVBand="1"/>
      </w:tblPr>
      <w:tblGrid>
        <w:gridCol w:w="3339"/>
        <w:gridCol w:w="5515"/>
      </w:tblGrid>
      <w:tr w:rsidR="00D9451C" w:rsidRPr="00E4790F" w14:paraId="35D4380B" w14:textId="77777777" w:rsidTr="000F30A1">
        <w:tc>
          <w:tcPr>
            <w:tcW w:w="3339" w:type="dxa"/>
          </w:tcPr>
          <w:p w14:paraId="41658647" w14:textId="77777777" w:rsidR="00D9451C" w:rsidRPr="00E4790F" w:rsidRDefault="00D9451C" w:rsidP="008A1103">
            <w:pPr>
              <w:pStyle w:val="BodyText"/>
              <w:spacing w:before="140"/>
              <w:ind w:left="136"/>
              <w:rPr>
                <w:b/>
              </w:rPr>
            </w:pPr>
            <w:r w:rsidRPr="00E4790F">
              <w:rPr>
                <w:b/>
              </w:rPr>
              <w:t>Organization Name</w:t>
            </w:r>
          </w:p>
        </w:tc>
        <w:tc>
          <w:tcPr>
            <w:tcW w:w="5515" w:type="dxa"/>
          </w:tcPr>
          <w:p w14:paraId="6EDD2B54" w14:textId="77777777" w:rsidR="00D9451C" w:rsidRPr="00E4790F" w:rsidRDefault="00D9451C" w:rsidP="008A1103">
            <w:pPr>
              <w:pStyle w:val="BodyText"/>
              <w:spacing w:before="140"/>
              <w:ind w:left="136"/>
              <w:rPr>
                <w:b/>
              </w:rPr>
            </w:pPr>
          </w:p>
        </w:tc>
      </w:tr>
      <w:tr w:rsidR="000F30A1" w:rsidRPr="00E4790F" w14:paraId="56BC9243" w14:textId="77777777" w:rsidTr="00942D2C">
        <w:tc>
          <w:tcPr>
            <w:tcW w:w="3339" w:type="dxa"/>
          </w:tcPr>
          <w:p w14:paraId="2976C1A8" w14:textId="77777777" w:rsidR="000F30A1" w:rsidRPr="00E4790F" w:rsidRDefault="000F30A1" w:rsidP="008A1103">
            <w:pPr>
              <w:pStyle w:val="BodyText"/>
              <w:spacing w:before="140"/>
              <w:ind w:left="136"/>
              <w:rPr>
                <w:b/>
              </w:rPr>
            </w:pPr>
            <w:r w:rsidRPr="00E4790F">
              <w:rPr>
                <w:b/>
              </w:rPr>
              <w:t>Date</w:t>
            </w:r>
          </w:p>
        </w:tc>
        <w:tc>
          <w:tcPr>
            <w:tcW w:w="5515" w:type="dxa"/>
          </w:tcPr>
          <w:p w14:paraId="4BF024B2" w14:textId="77777777" w:rsidR="000F30A1" w:rsidRPr="00E4790F" w:rsidRDefault="000F30A1" w:rsidP="008A1103">
            <w:pPr>
              <w:pStyle w:val="BodyText"/>
              <w:spacing w:before="140"/>
              <w:ind w:left="136"/>
              <w:rPr>
                <w:b/>
              </w:rPr>
            </w:pPr>
          </w:p>
        </w:tc>
      </w:tr>
    </w:tbl>
    <w:p w14:paraId="1B43E6C3" w14:textId="77777777" w:rsidR="000F30A1" w:rsidRDefault="006818BC" w:rsidP="00A96608">
      <w:pPr>
        <w:pStyle w:val="BodyText"/>
        <w:spacing w:before="140"/>
        <w:jc w:val="both"/>
        <w:rPr>
          <w:b/>
        </w:rPr>
      </w:pPr>
      <w:r>
        <w:rPr>
          <w:b/>
        </w:rPr>
        <w:t>Financial Budget: The b</w:t>
      </w:r>
      <w:r w:rsidR="000F30A1" w:rsidRPr="00E4790F">
        <w:rPr>
          <w:b/>
        </w:rPr>
        <w:t xml:space="preserve">udget costs should agree to the </w:t>
      </w:r>
      <w:r w:rsidR="007924D0">
        <w:rPr>
          <w:b/>
        </w:rPr>
        <w:t xml:space="preserve">expected </w:t>
      </w:r>
      <w:r w:rsidR="000F30A1" w:rsidRPr="00E4790F">
        <w:rPr>
          <w:b/>
        </w:rPr>
        <w:t>grant award</w:t>
      </w:r>
      <w:r w:rsidR="007924D0">
        <w:rPr>
          <w:b/>
        </w:rPr>
        <w:t xml:space="preserve"> allocation</w:t>
      </w:r>
      <w:r w:rsidR="000F30A1" w:rsidRPr="00E4790F">
        <w:rPr>
          <w:b/>
        </w:rPr>
        <w:t xml:space="preserve">. </w:t>
      </w:r>
    </w:p>
    <w:p w14:paraId="16F89930" w14:textId="6CE6A036" w:rsidR="006818BC" w:rsidRPr="006D5A6E" w:rsidRDefault="006D5A6E" w:rsidP="00A96608">
      <w:pPr>
        <w:pStyle w:val="BodyText"/>
        <w:jc w:val="both"/>
      </w:pPr>
      <w:r w:rsidRPr="00E4790F">
        <w:t xml:space="preserve">Organizations shall </w:t>
      </w:r>
      <w:r>
        <w:t xml:space="preserve">refer to the Final Rule guidance to ensure that expenditures are for eligible uses. </w:t>
      </w:r>
      <w:r w:rsidR="00F972B5" w:rsidRPr="00D41DA8">
        <w:rPr>
          <w:rFonts w:cstheme="minorHAnsi"/>
        </w:rPr>
        <w:t>U.S. Treasury Guidance and FAQs for State, Local and Tribal Governments can be found</w:t>
      </w:r>
      <w:r w:rsidR="00F972B5" w:rsidRPr="0060455A">
        <w:rPr>
          <w:rFonts w:cstheme="minorHAnsi"/>
          <w:color w:val="555555"/>
        </w:rPr>
        <w:t xml:space="preserve"> </w:t>
      </w:r>
      <w:r w:rsidR="00F972B5">
        <w:t xml:space="preserve">at </w:t>
      </w:r>
      <w:hyperlink r:id="rId7" w:history="1">
        <w:r w:rsidR="00F972B5">
          <w:rPr>
            <w:rStyle w:val="Hyperlink"/>
          </w:rPr>
          <w:t>SLFRF-Final-Rule-FAQ.pdf (treasury.gov)</w:t>
        </w:r>
      </w:hyperlink>
      <w:r w:rsidR="00F972B5">
        <w:t xml:space="preserve">. </w:t>
      </w:r>
      <w:r w:rsidRPr="00A57FE2">
        <w:t>General economic development activities that do not respond to negative economic impacts of the pandemic but rather seek to more generally enhance the ju</w:t>
      </w:r>
      <w:r>
        <w:t xml:space="preserve">risdiction’s business climate </w:t>
      </w:r>
      <w:r w:rsidRPr="00A57FE2">
        <w:t>would generally not be eligible under this eligible use category. Uses that bear no relation or are grossly disproportionate to the type or extent of harm experienced would not be eligible uses.</w:t>
      </w:r>
    </w:p>
    <w:p w14:paraId="74321E21" w14:textId="77777777" w:rsidR="00FF2D8F" w:rsidRPr="006D5A6E" w:rsidRDefault="00FF2D8F" w:rsidP="00FF2D8F">
      <w:pPr>
        <w:pStyle w:val="BodyText"/>
        <w:ind w:left="490"/>
        <w:jc w:val="both"/>
      </w:pPr>
    </w:p>
    <w:tbl>
      <w:tblPr>
        <w:tblStyle w:val="TableGrid"/>
        <w:tblW w:w="0" w:type="auto"/>
        <w:tblInd w:w="496" w:type="dxa"/>
        <w:tblLook w:val="04A0" w:firstRow="1" w:lastRow="0" w:firstColumn="1" w:lastColumn="0" w:noHBand="0" w:noVBand="1"/>
      </w:tblPr>
      <w:tblGrid>
        <w:gridCol w:w="2106"/>
        <w:gridCol w:w="1283"/>
        <w:gridCol w:w="1218"/>
        <w:gridCol w:w="1462"/>
        <w:gridCol w:w="1238"/>
        <w:gridCol w:w="1547"/>
      </w:tblGrid>
      <w:tr w:rsidR="00FF2D8F" w:rsidRPr="00E4790F" w14:paraId="3CE99644" w14:textId="77777777" w:rsidTr="004845C8">
        <w:tc>
          <w:tcPr>
            <w:tcW w:w="2106" w:type="dxa"/>
            <w:shd w:val="clear" w:color="auto" w:fill="BFBFBF" w:themeFill="background1" w:themeFillShade="BF"/>
          </w:tcPr>
          <w:p w14:paraId="41BAC7DB" w14:textId="77777777" w:rsidR="00FF2D8F" w:rsidRPr="00FC0BE1" w:rsidRDefault="00FF2D8F" w:rsidP="004845C8">
            <w:pPr>
              <w:pStyle w:val="BodyText"/>
              <w:spacing w:before="140"/>
              <w:jc w:val="both"/>
              <w:rPr>
                <w:b/>
              </w:rPr>
            </w:pPr>
            <w:r w:rsidRPr="00FC0BE1">
              <w:rPr>
                <w:b/>
              </w:rPr>
              <w:t>Budget category</w:t>
            </w:r>
          </w:p>
        </w:tc>
        <w:tc>
          <w:tcPr>
            <w:tcW w:w="1283" w:type="dxa"/>
            <w:shd w:val="clear" w:color="auto" w:fill="BFBFBF" w:themeFill="background1" w:themeFillShade="BF"/>
          </w:tcPr>
          <w:p w14:paraId="3591FDBE" w14:textId="77777777" w:rsidR="00FF2D8F" w:rsidRPr="00E4790F" w:rsidRDefault="00FF2D8F" w:rsidP="004845C8">
            <w:pPr>
              <w:pStyle w:val="BodyText"/>
              <w:spacing w:before="140"/>
              <w:jc w:val="both"/>
              <w:rPr>
                <w:b/>
              </w:rPr>
            </w:pPr>
            <w:r>
              <w:rPr>
                <w:b/>
              </w:rPr>
              <w:t>Water</w:t>
            </w:r>
          </w:p>
        </w:tc>
        <w:tc>
          <w:tcPr>
            <w:tcW w:w="1218" w:type="dxa"/>
            <w:shd w:val="clear" w:color="auto" w:fill="BFBFBF" w:themeFill="background1" w:themeFillShade="BF"/>
          </w:tcPr>
          <w:p w14:paraId="3CC02C0E" w14:textId="77777777" w:rsidR="00FF2D8F" w:rsidRDefault="00FF2D8F" w:rsidP="004845C8">
            <w:pPr>
              <w:pStyle w:val="BodyText"/>
              <w:spacing w:before="140"/>
              <w:jc w:val="both"/>
              <w:rPr>
                <w:b/>
              </w:rPr>
            </w:pPr>
            <w:r>
              <w:rPr>
                <w:b/>
              </w:rPr>
              <w:t>Sewer</w:t>
            </w:r>
          </w:p>
        </w:tc>
        <w:tc>
          <w:tcPr>
            <w:tcW w:w="1462" w:type="dxa"/>
            <w:shd w:val="clear" w:color="auto" w:fill="BFBFBF" w:themeFill="background1" w:themeFillShade="BF"/>
          </w:tcPr>
          <w:p w14:paraId="3366DA3F" w14:textId="77777777" w:rsidR="00FF2D8F" w:rsidRDefault="00FF2D8F" w:rsidP="004845C8">
            <w:pPr>
              <w:pStyle w:val="BodyText"/>
              <w:spacing w:before="140"/>
              <w:jc w:val="both"/>
              <w:rPr>
                <w:b/>
              </w:rPr>
            </w:pPr>
            <w:r>
              <w:rPr>
                <w:b/>
              </w:rPr>
              <w:t>Broadband</w:t>
            </w:r>
          </w:p>
        </w:tc>
        <w:tc>
          <w:tcPr>
            <w:tcW w:w="1238" w:type="dxa"/>
            <w:shd w:val="clear" w:color="auto" w:fill="BFBFBF" w:themeFill="background1" w:themeFillShade="BF"/>
          </w:tcPr>
          <w:p w14:paraId="0BCF6F78" w14:textId="77777777" w:rsidR="00FF2D8F" w:rsidRDefault="00FF2D8F" w:rsidP="004845C8">
            <w:pPr>
              <w:pStyle w:val="BodyText"/>
              <w:spacing w:before="140"/>
              <w:jc w:val="both"/>
              <w:rPr>
                <w:b/>
              </w:rPr>
            </w:pPr>
            <w:r>
              <w:rPr>
                <w:b/>
              </w:rPr>
              <w:t>HVAC</w:t>
            </w:r>
          </w:p>
        </w:tc>
        <w:tc>
          <w:tcPr>
            <w:tcW w:w="1547" w:type="dxa"/>
            <w:shd w:val="clear" w:color="auto" w:fill="BFBFBF" w:themeFill="background1" w:themeFillShade="BF"/>
          </w:tcPr>
          <w:p w14:paraId="2FF3F422" w14:textId="77777777" w:rsidR="00FF2D8F" w:rsidRDefault="00FF2D8F" w:rsidP="004845C8">
            <w:pPr>
              <w:pStyle w:val="BodyText"/>
              <w:spacing w:before="140"/>
              <w:jc w:val="both"/>
              <w:rPr>
                <w:b/>
              </w:rPr>
            </w:pPr>
            <w:r>
              <w:rPr>
                <w:b/>
              </w:rPr>
              <w:t>Other</w:t>
            </w:r>
          </w:p>
        </w:tc>
      </w:tr>
      <w:tr w:rsidR="00FF2D8F" w:rsidRPr="00E4790F" w14:paraId="2B024B5A" w14:textId="77777777" w:rsidTr="004845C8">
        <w:tc>
          <w:tcPr>
            <w:tcW w:w="2106" w:type="dxa"/>
          </w:tcPr>
          <w:p w14:paraId="68368757" w14:textId="77777777" w:rsidR="00FF2D8F" w:rsidRPr="00FC0BE1" w:rsidRDefault="00FF2D8F" w:rsidP="004845C8">
            <w:pPr>
              <w:pStyle w:val="BodyText"/>
              <w:spacing w:before="140"/>
              <w:jc w:val="both"/>
              <w:rPr>
                <w:b/>
                <w:color w:val="FF0000"/>
              </w:rPr>
            </w:pPr>
            <w:r w:rsidRPr="00FC0BE1">
              <w:t>Project description</w:t>
            </w:r>
            <w:r w:rsidRPr="00FC0BE1">
              <w:rPr>
                <w:color w:val="1F497D"/>
              </w:rPr>
              <w:t> </w:t>
            </w:r>
          </w:p>
        </w:tc>
        <w:tc>
          <w:tcPr>
            <w:tcW w:w="1283" w:type="dxa"/>
          </w:tcPr>
          <w:p w14:paraId="0EF3103E" w14:textId="77777777" w:rsidR="00FF2D8F" w:rsidRPr="00E4790F" w:rsidRDefault="00FF2D8F" w:rsidP="004845C8">
            <w:pPr>
              <w:pStyle w:val="BodyText"/>
              <w:spacing w:before="140"/>
              <w:jc w:val="both"/>
              <w:rPr>
                <w:b/>
              </w:rPr>
            </w:pPr>
          </w:p>
        </w:tc>
        <w:tc>
          <w:tcPr>
            <w:tcW w:w="1218" w:type="dxa"/>
          </w:tcPr>
          <w:p w14:paraId="1DC2C2C3" w14:textId="77777777" w:rsidR="00FF2D8F" w:rsidRPr="00E4790F" w:rsidRDefault="00FF2D8F" w:rsidP="004845C8">
            <w:pPr>
              <w:pStyle w:val="BodyText"/>
              <w:spacing w:before="140"/>
              <w:jc w:val="both"/>
              <w:rPr>
                <w:b/>
              </w:rPr>
            </w:pPr>
          </w:p>
        </w:tc>
        <w:tc>
          <w:tcPr>
            <w:tcW w:w="1462" w:type="dxa"/>
          </w:tcPr>
          <w:p w14:paraId="53B67B12" w14:textId="77777777" w:rsidR="00FF2D8F" w:rsidRPr="00E4790F" w:rsidRDefault="00FF2D8F" w:rsidP="004845C8">
            <w:pPr>
              <w:pStyle w:val="BodyText"/>
              <w:spacing w:before="140"/>
              <w:jc w:val="both"/>
              <w:rPr>
                <w:b/>
              </w:rPr>
            </w:pPr>
          </w:p>
        </w:tc>
        <w:tc>
          <w:tcPr>
            <w:tcW w:w="1238" w:type="dxa"/>
          </w:tcPr>
          <w:p w14:paraId="1A9C3F47" w14:textId="77777777" w:rsidR="00FF2D8F" w:rsidRPr="00E4790F" w:rsidRDefault="00FF2D8F" w:rsidP="004845C8">
            <w:pPr>
              <w:pStyle w:val="BodyText"/>
              <w:spacing w:before="140"/>
              <w:jc w:val="both"/>
              <w:rPr>
                <w:b/>
              </w:rPr>
            </w:pPr>
          </w:p>
        </w:tc>
        <w:tc>
          <w:tcPr>
            <w:tcW w:w="1547" w:type="dxa"/>
          </w:tcPr>
          <w:p w14:paraId="7734432F" w14:textId="77777777" w:rsidR="00FF2D8F" w:rsidRPr="00E4790F" w:rsidRDefault="00FF2D8F" w:rsidP="004845C8">
            <w:pPr>
              <w:pStyle w:val="BodyText"/>
              <w:spacing w:before="140"/>
              <w:jc w:val="both"/>
              <w:rPr>
                <w:b/>
              </w:rPr>
            </w:pPr>
          </w:p>
        </w:tc>
      </w:tr>
      <w:tr w:rsidR="00FF2D8F" w:rsidRPr="00E4790F" w14:paraId="624E33EA" w14:textId="77777777" w:rsidTr="004845C8">
        <w:tc>
          <w:tcPr>
            <w:tcW w:w="2106" w:type="dxa"/>
          </w:tcPr>
          <w:p w14:paraId="1211771E" w14:textId="77777777" w:rsidR="00FF2D8F" w:rsidRPr="00FC0BE1" w:rsidRDefault="00FF2D8F" w:rsidP="004845C8">
            <w:pPr>
              <w:pStyle w:val="BodyText"/>
              <w:spacing w:before="140"/>
              <w:jc w:val="both"/>
              <w:rPr>
                <w:b/>
                <w:color w:val="FF0000"/>
              </w:rPr>
            </w:pPr>
            <w:r w:rsidRPr="00FC0BE1">
              <w:t>Type of project</w:t>
            </w:r>
            <w:r w:rsidRPr="00FC0BE1">
              <w:rPr>
                <w:color w:val="1F497D"/>
              </w:rPr>
              <w:t> </w:t>
            </w:r>
          </w:p>
        </w:tc>
        <w:tc>
          <w:tcPr>
            <w:tcW w:w="1283" w:type="dxa"/>
          </w:tcPr>
          <w:p w14:paraId="43136EF3" w14:textId="77777777" w:rsidR="00FF2D8F" w:rsidRPr="00E4790F" w:rsidRDefault="00FF2D8F" w:rsidP="004845C8">
            <w:pPr>
              <w:pStyle w:val="BodyText"/>
              <w:spacing w:before="140"/>
              <w:jc w:val="both"/>
              <w:rPr>
                <w:b/>
              </w:rPr>
            </w:pPr>
          </w:p>
        </w:tc>
        <w:tc>
          <w:tcPr>
            <w:tcW w:w="1218" w:type="dxa"/>
          </w:tcPr>
          <w:p w14:paraId="5B942AD4" w14:textId="77777777" w:rsidR="00FF2D8F" w:rsidRPr="00E4790F" w:rsidRDefault="00FF2D8F" w:rsidP="004845C8">
            <w:pPr>
              <w:pStyle w:val="BodyText"/>
              <w:spacing w:before="140"/>
              <w:jc w:val="both"/>
              <w:rPr>
                <w:b/>
              </w:rPr>
            </w:pPr>
          </w:p>
        </w:tc>
        <w:tc>
          <w:tcPr>
            <w:tcW w:w="1462" w:type="dxa"/>
          </w:tcPr>
          <w:p w14:paraId="5E3BFCF4" w14:textId="77777777" w:rsidR="00FF2D8F" w:rsidRPr="00E4790F" w:rsidRDefault="00FF2D8F" w:rsidP="004845C8">
            <w:pPr>
              <w:pStyle w:val="BodyText"/>
              <w:spacing w:before="140"/>
              <w:jc w:val="both"/>
              <w:rPr>
                <w:b/>
              </w:rPr>
            </w:pPr>
          </w:p>
        </w:tc>
        <w:tc>
          <w:tcPr>
            <w:tcW w:w="1238" w:type="dxa"/>
          </w:tcPr>
          <w:p w14:paraId="3E63F2BC" w14:textId="77777777" w:rsidR="00FF2D8F" w:rsidRPr="00E4790F" w:rsidRDefault="00FF2D8F" w:rsidP="004845C8">
            <w:pPr>
              <w:pStyle w:val="BodyText"/>
              <w:spacing w:before="140"/>
              <w:jc w:val="both"/>
              <w:rPr>
                <w:b/>
              </w:rPr>
            </w:pPr>
          </w:p>
        </w:tc>
        <w:tc>
          <w:tcPr>
            <w:tcW w:w="1547" w:type="dxa"/>
          </w:tcPr>
          <w:p w14:paraId="1B63E4D3" w14:textId="77777777" w:rsidR="00FF2D8F" w:rsidRPr="00E4790F" w:rsidRDefault="00FF2D8F" w:rsidP="004845C8">
            <w:pPr>
              <w:pStyle w:val="BodyText"/>
              <w:spacing w:before="140"/>
              <w:jc w:val="both"/>
              <w:rPr>
                <w:b/>
              </w:rPr>
            </w:pPr>
          </w:p>
        </w:tc>
      </w:tr>
      <w:tr w:rsidR="00FF2D8F" w:rsidRPr="00E4790F" w14:paraId="5B829E55" w14:textId="77777777" w:rsidTr="004845C8">
        <w:tc>
          <w:tcPr>
            <w:tcW w:w="2106" w:type="dxa"/>
          </w:tcPr>
          <w:p w14:paraId="6D2A79DD" w14:textId="77777777" w:rsidR="00FF2D8F" w:rsidRPr="00FC0BE1" w:rsidRDefault="00FF2D8F" w:rsidP="004845C8">
            <w:pPr>
              <w:pStyle w:val="BodyText"/>
              <w:spacing w:before="140"/>
              <w:jc w:val="both"/>
              <w:rPr>
                <w:b/>
                <w:color w:val="FF0000"/>
              </w:rPr>
            </w:pPr>
            <w:r w:rsidRPr="00FC0BE1">
              <w:t>Project map</w:t>
            </w:r>
          </w:p>
        </w:tc>
        <w:tc>
          <w:tcPr>
            <w:tcW w:w="1283" w:type="dxa"/>
          </w:tcPr>
          <w:p w14:paraId="1191F5AB" w14:textId="77777777" w:rsidR="00FF2D8F" w:rsidRPr="00E4790F" w:rsidRDefault="00FF2D8F" w:rsidP="004845C8">
            <w:pPr>
              <w:pStyle w:val="BodyText"/>
              <w:spacing w:before="140"/>
              <w:jc w:val="both"/>
              <w:rPr>
                <w:b/>
              </w:rPr>
            </w:pPr>
          </w:p>
        </w:tc>
        <w:tc>
          <w:tcPr>
            <w:tcW w:w="1218" w:type="dxa"/>
          </w:tcPr>
          <w:p w14:paraId="278A67A1" w14:textId="77777777" w:rsidR="00FF2D8F" w:rsidRPr="00E4790F" w:rsidRDefault="00FF2D8F" w:rsidP="004845C8">
            <w:pPr>
              <w:pStyle w:val="BodyText"/>
              <w:spacing w:before="140"/>
              <w:jc w:val="both"/>
              <w:rPr>
                <w:b/>
              </w:rPr>
            </w:pPr>
          </w:p>
        </w:tc>
        <w:tc>
          <w:tcPr>
            <w:tcW w:w="1462" w:type="dxa"/>
          </w:tcPr>
          <w:p w14:paraId="03B66269" w14:textId="77777777" w:rsidR="00FF2D8F" w:rsidRPr="00E4790F" w:rsidRDefault="00FF2D8F" w:rsidP="004845C8">
            <w:pPr>
              <w:pStyle w:val="BodyText"/>
              <w:spacing w:before="140"/>
              <w:jc w:val="both"/>
              <w:rPr>
                <w:b/>
              </w:rPr>
            </w:pPr>
          </w:p>
        </w:tc>
        <w:tc>
          <w:tcPr>
            <w:tcW w:w="1238" w:type="dxa"/>
          </w:tcPr>
          <w:p w14:paraId="06E9FE3C" w14:textId="77777777" w:rsidR="00FF2D8F" w:rsidRPr="00E4790F" w:rsidRDefault="00FF2D8F" w:rsidP="004845C8">
            <w:pPr>
              <w:pStyle w:val="BodyText"/>
              <w:spacing w:before="140"/>
              <w:jc w:val="both"/>
              <w:rPr>
                <w:b/>
              </w:rPr>
            </w:pPr>
          </w:p>
        </w:tc>
        <w:tc>
          <w:tcPr>
            <w:tcW w:w="1547" w:type="dxa"/>
          </w:tcPr>
          <w:p w14:paraId="59CAFE17" w14:textId="77777777" w:rsidR="00FF2D8F" w:rsidRPr="00E4790F" w:rsidRDefault="00FF2D8F" w:rsidP="004845C8">
            <w:pPr>
              <w:pStyle w:val="BodyText"/>
              <w:spacing w:before="140"/>
              <w:jc w:val="both"/>
              <w:rPr>
                <w:b/>
              </w:rPr>
            </w:pPr>
          </w:p>
        </w:tc>
      </w:tr>
      <w:tr w:rsidR="00FF2D8F" w:rsidRPr="00E4790F" w14:paraId="4847A775" w14:textId="77777777" w:rsidTr="004845C8">
        <w:tc>
          <w:tcPr>
            <w:tcW w:w="2106" w:type="dxa"/>
          </w:tcPr>
          <w:p w14:paraId="3D0104E3" w14:textId="77777777" w:rsidR="00FF2D8F" w:rsidRPr="00FC0BE1" w:rsidRDefault="00FF2D8F" w:rsidP="004845C8">
            <w:pPr>
              <w:pStyle w:val="BodyText"/>
              <w:spacing w:before="140"/>
              <w:jc w:val="both"/>
              <w:rPr>
                <w:b/>
                <w:color w:val="FF0000"/>
              </w:rPr>
            </w:pPr>
            <w:r w:rsidRPr="00FC0BE1">
              <w:t>Estimate of the population served by the project</w:t>
            </w:r>
          </w:p>
        </w:tc>
        <w:tc>
          <w:tcPr>
            <w:tcW w:w="1283" w:type="dxa"/>
          </w:tcPr>
          <w:p w14:paraId="6B25426B" w14:textId="77777777" w:rsidR="00FF2D8F" w:rsidRPr="00E4790F" w:rsidRDefault="00FF2D8F" w:rsidP="004845C8">
            <w:pPr>
              <w:pStyle w:val="BodyText"/>
              <w:spacing w:before="140"/>
              <w:jc w:val="both"/>
              <w:rPr>
                <w:b/>
              </w:rPr>
            </w:pPr>
          </w:p>
        </w:tc>
        <w:tc>
          <w:tcPr>
            <w:tcW w:w="1218" w:type="dxa"/>
          </w:tcPr>
          <w:p w14:paraId="0F71E76E" w14:textId="77777777" w:rsidR="00FF2D8F" w:rsidRPr="00E4790F" w:rsidRDefault="00FF2D8F" w:rsidP="004845C8">
            <w:pPr>
              <w:pStyle w:val="BodyText"/>
              <w:spacing w:before="140"/>
              <w:jc w:val="both"/>
              <w:rPr>
                <w:b/>
              </w:rPr>
            </w:pPr>
          </w:p>
        </w:tc>
        <w:tc>
          <w:tcPr>
            <w:tcW w:w="1462" w:type="dxa"/>
          </w:tcPr>
          <w:p w14:paraId="1FC81173" w14:textId="77777777" w:rsidR="00FF2D8F" w:rsidRPr="00E4790F" w:rsidRDefault="00FF2D8F" w:rsidP="004845C8">
            <w:pPr>
              <w:pStyle w:val="BodyText"/>
              <w:spacing w:before="140"/>
              <w:jc w:val="both"/>
              <w:rPr>
                <w:b/>
              </w:rPr>
            </w:pPr>
          </w:p>
        </w:tc>
        <w:tc>
          <w:tcPr>
            <w:tcW w:w="1238" w:type="dxa"/>
          </w:tcPr>
          <w:p w14:paraId="59521BE1" w14:textId="77777777" w:rsidR="00FF2D8F" w:rsidRPr="00E4790F" w:rsidRDefault="00FF2D8F" w:rsidP="004845C8">
            <w:pPr>
              <w:pStyle w:val="BodyText"/>
              <w:spacing w:before="140"/>
              <w:jc w:val="both"/>
              <w:rPr>
                <w:b/>
              </w:rPr>
            </w:pPr>
          </w:p>
        </w:tc>
        <w:tc>
          <w:tcPr>
            <w:tcW w:w="1547" w:type="dxa"/>
          </w:tcPr>
          <w:p w14:paraId="3E045BEF" w14:textId="77777777" w:rsidR="00FF2D8F" w:rsidRPr="00E4790F" w:rsidRDefault="00FF2D8F" w:rsidP="004845C8">
            <w:pPr>
              <w:pStyle w:val="BodyText"/>
              <w:spacing w:before="140"/>
              <w:jc w:val="both"/>
              <w:rPr>
                <w:b/>
              </w:rPr>
            </w:pPr>
          </w:p>
        </w:tc>
      </w:tr>
      <w:tr w:rsidR="00FF2D8F" w:rsidRPr="00E4790F" w14:paraId="467E68C6" w14:textId="77777777" w:rsidTr="004845C8">
        <w:tc>
          <w:tcPr>
            <w:tcW w:w="2106" w:type="dxa"/>
          </w:tcPr>
          <w:p w14:paraId="7FEFFFDA" w14:textId="77777777" w:rsidR="00FF2D8F" w:rsidRPr="00FC0BE1" w:rsidRDefault="00FF2D8F" w:rsidP="004845C8">
            <w:pPr>
              <w:pStyle w:val="BodyText"/>
              <w:spacing w:before="140"/>
              <w:jc w:val="both"/>
              <w:rPr>
                <w:b/>
                <w:color w:val="FF0000"/>
              </w:rPr>
            </w:pPr>
            <w:r w:rsidRPr="00FC0BE1">
              <w:t>Estimate of project costs</w:t>
            </w:r>
          </w:p>
        </w:tc>
        <w:tc>
          <w:tcPr>
            <w:tcW w:w="1283" w:type="dxa"/>
          </w:tcPr>
          <w:p w14:paraId="353751EC" w14:textId="77777777" w:rsidR="00FF2D8F" w:rsidRPr="00E4790F" w:rsidRDefault="00FF2D8F" w:rsidP="004845C8">
            <w:pPr>
              <w:pStyle w:val="BodyText"/>
              <w:spacing w:before="140"/>
              <w:jc w:val="both"/>
              <w:rPr>
                <w:b/>
              </w:rPr>
            </w:pPr>
          </w:p>
        </w:tc>
        <w:tc>
          <w:tcPr>
            <w:tcW w:w="1218" w:type="dxa"/>
          </w:tcPr>
          <w:p w14:paraId="264E8ACD" w14:textId="77777777" w:rsidR="00FF2D8F" w:rsidRPr="00E4790F" w:rsidRDefault="00FF2D8F" w:rsidP="004845C8">
            <w:pPr>
              <w:pStyle w:val="BodyText"/>
              <w:spacing w:before="140"/>
              <w:jc w:val="both"/>
              <w:rPr>
                <w:b/>
              </w:rPr>
            </w:pPr>
          </w:p>
        </w:tc>
        <w:tc>
          <w:tcPr>
            <w:tcW w:w="1462" w:type="dxa"/>
          </w:tcPr>
          <w:p w14:paraId="2E2F9990" w14:textId="77777777" w:rsidR="00FF2D8F" w:rsidRPr="00E4790F" w:rsidRDefault="00FF2D8F" w:rsidP="004845C8">
            <w:pPr>
              <w:pStyle w:val="BodyText"/>
              <w:spacing w:before="140"/>
              <w:jc w:val="both"/>
              <w:rPr>
                <w:b/>
              </w:rPr>
            </w:pPr>
          </w:p>
        </w:tc>
        <w:tc>
          <w:tcPr>
            <w:tcW w:w="1238" w:type="dxa"/>
          </w:tcPr>
          <w:p w14:paraId="732300E7" w14:textId="77777777" w:rsidR="00FF2D8F" w:rsidRPr="00E4790F" w:rsidRDefault="00FF2D8F" w:rsidP="004845C8">
            <w:pPr>
              <w:pStyle w:val="BodyText"/>
              <w:spacing w:before="140"/>
              <w:jc w:val="both"/>
              <w:rPr>
                <w:b/>
              </w:rPr>
            </w:pPr>
          </w:p>
        </w:tc>
        <w:tc>
          <w:tcPr>
            <w:tcW w:w="1547" w:type="dxa"/>
          </w:tcPr>
          <w:p w14:paraId="20E684B9" w14:textId="77777777" w:rsidR="00FF2D8F" w:rsidRPr="00E4790F" w:rsidRDefault="00FF2D8F" w:rsidP="004845C8">
            <w:pPr>
              <w:pStyle w:val="BodyText"/>
              <w:spacing w:before="140"/>
              <w:jc w:val="both"/>
              <w:rPr>
                <w:b/>
              </w:rPr>
            </w:pPr>
          </w:p>
        </w:tc>
      </w:tr>
      <w:tr w:rsidR="00FF2D8F" w:rsidRPr="00E4790F" w14:paraId="31E1E7D4" w14:textId="77777777" w:rsidTr="004845C8">
        <w:tc>
          <w:tcPr>
            <w:tcW w:w="2106" w:type="dxa"/>
          </w:tcPr>
          <w:p w14:paraId="7A865D47" w14:textId="77777777" w:rsidR="00FF2D8F" w:rsidRPr="00FC0BE1" w:rsidRDefault="00FF2D8F" w:rsidP="004845C8">
            <w:pPr>
              <w:pStyle w:val="BodyText"/>
              <w:spacing w:before="140"/>
              <w:jc w:val="both"/>
              <w:rPr>
                <w:b/>
                <w:color w:val="FF0000"/>
              </w:rPr>
            </w:pPr>
            <w:r w:rsidRPr="00FC0BE1">
              <w:t>Estimated project schedule</w:t>
            </w:r>
          </w:p>
        </w:tc>
        <w:tc>
          <w:tcPr>
            <w:tcW w:w="1283" w:type="dxa"/>
          </w:tcPr>
          <w:p w14:paraId="0FB55579" w14:textId="77777777" w:rsidR="00FF2D8F" w:rsidRPr="00E4790F" w:rsidRDefault="00FF2D8F" w:rsidP="004845C8">
            <w:pPr>
              <w:pStyle w:val="BodyText"/>
              <w:spacing w:before="140"/>
              <w:jc w:val="both"/>
              <w:rPr>
                <w:b/>
              </w:rPr>
            </w:pPr>
          </w:p>
        </w:tc>
        <w:tc>
          <w:tcPr>
            <w:tcW w:w="1218" w:type="dxa"/>
          </w:tcPr>
          <w:p w14:paraId="3A9CACFE" w14:textId="77777777" w:rsidR="00FF2D8F" w:rsidRPr="00E4790F" w:rsidRDefault="00FF2D8F" w:rsidP="004845C8">
            <w:pPr>
              <w:pStyle w:val="BodyText"/>
              <w:spacing w:before="140"/>
              <w:jc w:val="both"/>
              <w:rPr>
                <w:b/>
              </w:rPr>
            </w:pPr>
          </w:p>
        </w:tc>
        <w:tc>
          <w:tcPr>
            <w:tcW w:w="1462" w:type="dxa"/>
          </w:tcPr>
          <w:p w14:paraId="27A5624B" w14:textId="77777777" w:rsidR="00FF2D8F" w:rsidRPr="00E4790F" w:rsidRDefault="00FF2D8F" w:rsidP="004845C8">
            <w:pPr>
              <w:pStyle w:val="BodyText"/>
              <w:spacing w:before="140"/>
              <w:jc w:val="both"/>
              <w:rPr>
                <w:b/>
              </w:rPr>
            </w:pPr>
          </w:p>
        </w:tc>
        <w:tc>
          <w:tcPr>
            <w:tcW w:w="1238" w:type="dxa"/>
          </w:tcPr>
          <w:p w14:paraId="0EB89ECE" w14:textId="77777777" w:rsidR="00FF2D8F" w:rsidRPr="00E4790F" w:rsidRDefault="00FF2D8F" w:rsidP="004845C8">
            <w:pPr>
              <w:pStyle w:val="BodyText"/>
              <w:spacing w:before="140"/>
              <w:jc w:val="both"/>
              <w:rPr>
                <w:b/>
              </w:rPr>
            </w:pPr>
          </w:p>
        </w:tc>
        <w:tc>
          <w:tcPr>
            <w:tcW w:w="1547" w:type="dxa"/>
          </w:tcPr>
          <w:p w14:paraId="5BB10A38" w14:textId="77777777" w:rsidR="00FF2D8F" w:rsidRPr="00E4790F" w:rsidRDefault="00FF2D8F" w:rsidP="004845C8">
            <w:pPr>
              <w:pStyle w:val="BodyText"/>
              <w:spacing w:before="140"/>
              <w:jc w:val="both"/>
              <w:rPr>
                <w:b/>
              </w:rPr>
            </w:pPr>
          </w:p>
        </w:tc>
      </w:tr>
      <w:tr w:rsidR="00FF2D8F" w:rsidRPr="00E4790F" w14:paraId="2C64F86B" w14:textId="77777777" w:rsidTr="004845C8">
        <w:tc>
          <w:tcPr>
            <w:tcW w:w="2106" w:type="dxa"/>
          </w:tcPr>
          <w:p w14:paraId="42876F8E" w14:textId="77777777" w:rsidR="00FF2D8F" w:rsidRPr="00FC0BE1" w:rsidRDefault="00FF2D8F" w:rsidP="004845C8">
            <w:pPr>
              <w:pStyle w:val="BodyText"/>
              <w:spacing w:before="140"/>
              <w:rPr>
                <w:b/>
                <w:color w:val="FF0000"/>
              </w:rPr>
            </w:pPr>
            <w:r w:rsidRPr="00FC0BE1">
              <w:t>Readiness to proceed</w:t>
            </w:r>
          </w:p>
        </w:tc>
        <w:tc>
          <w:tcPr>
            <w:tcW w:w="1283" w:type="dxa"/>
          </w:tcPr>
          <w:p w14:paraId="60CF759F" w14:textId="77777777" w:rsidR="00FF2D8F" w:rsidRPr="00E4790F" w:rsidRDefault="00FF2D8F" w:rsidP="004845C8">
            <w:pPr>
              <w:pStyle w:val="BodyText"/>
              <w:spacing w:before="140"/>
              <w:jc w:val="both"/>
              <w:rPr>
                <w:b/>
              </w:rPr>
            </w:pPr>
          </w:p>
        </w:tc>
        <w:tc>
          <w:tcPr>
            <w:tcW w:w="1218" w:type="dxa"/>
          </w:tcPr>
          <w:p w14:paraId="11E04934" w14:textId="77777777" w:rsidR="00FF2D8F" w:rsidRPr="00E4790F" w:rsidRDefault="00FF2D8F" w:rsidP="004845C8">
            <w:pPr>
              <w:pStyle w:val="BodyText"/>
              <w:spacing w:before="140"/>
              <w:jc w:val="both"/>
              <w:rPr>
                <w:b/>
              </w:rPr>
            </w:pPr>
          </w:p>
        </w:tc>
        <w:tc>
          <w:tcPr>
            <w:tcW w:w="1462" w:type="dxa"/>
          </w:tcPr>
          <w:p w14:paraId="64650DB4" w14:textId="77777777" w:rsidR="00FF2D8F" w:rsidRPr="00E4790F" w:rsidRDefault="00FF2D8F" w:rsidP="004845C8">
            <w:pPr>
              <w:pStyle w:val="BodyText"/>
              <w:spacing w:before="140"/>
              <w:jc w:val="both"/>
              <w:rPr>
                <w:b/>
              </w:rPr>
            </w:pPr>
          </w:p>
        </w:tc>
        <w:tc>
          <w:tcPr>
            <w:tcW w:w="1238" w:type="dxa"/>
          </w:tcPr>
          <w:p w14:paraId="13CBACFA" w14:textId="77777777" w:rsidR="00FF2D8F" w:rsidRPr="00E4790F" w:rsidRDefault="00FF2D8F" w:rsidP="004845C8">
            <w:pPr>
              <w:pStyle w:val="BodyText"/>
              <w:spacing w:before="140"/>
              <w:jc w:val="both"/>
              <w:rPr>
                <w:b/>
              </w:rPr>
            </w:pPr>
          </w:p>
        </w:tc>
        <w:tc>
          <w:tcPr>
            <w:tcW w:w="1547" w:type="dxa"/>
          </w:tcPr>
          <w:p w14:paraId="07B7AC98" w14:textId="77777777" w:rsidR="00FF2D8F" w:rsidRPr="00E4790F" w:rsidRDefault="00FF2D8F" w:rsidP="004845C8">
            <w:pPr>
              <w:pStyle w:val="BodyText"/>
              <w:spacing w:before="140"/>
              <w:jc w:val="both"/>
              <w:rPr>
                <w:b/>
              </w:rPr>
            </w:pPr>
          </w:p>
        </w:tc>
      </w:tr>
      <w:tr w:rsidR="00FF2D8F" w:rsidRPr="00E4790F" w14:paraId="3FC4C12F" w14:textId="77777777" w:rsidTr="004845C8">
        <w:tc>
          <w:tcPr>
            <w:tcW w:w="2106" w:type="dxa"/>
          </w:tcPr>
          <w:p w14:paraId="389AF95D" w14:textId="77777777" w:rsidR="00FF2D8F" w:rsidRPr="00FC0BE1" w:rsidRDefault="00FF2D8F" w:rsidP="004845C8">
            <w:pPr>
              <w:pStyle w:val="BodyText"/>
              <w:spacing w:before="140"/>
              <w:jc w:val="both"/>
              <w:rPr>
                <w:b/>
              </w:rPr>
            </w:pPr>
            <w:r w:rsidRPr="00FC0BE1">
              <w:rPr>
                <w:b/>
              </w:rPr>
              <w:t>Total</w:t>
            </w:r>
          </w:p>
        </w:tc>
        <w:tc>
          <w:tcPr>
            <w:tcW w:w="1283" w:type="dxa"/>
          </w:tcPr>
          <w:p w14:paraId="2C5D2C1E" w14:textId="77777777" w:rsidR="00FF2D8F" w:rsidRPr="00E4790F" w:rsidRDefault="00FF2D8F" w:rsidP="004845C8">
            <w:pPr>
              <w:pStyle w:val="BodyText"/>
              <w:spacing w:before="140"/>
              <w:jc w:val="both"/>
              <w:rPr>
                <w:b/>
              </w:rPr>
            </w:pPr>
          </w:p>
        </w:tc>
        <w:tc>
          <w:tcPr>
            <w:tcW w:w="1218" w:type="dxa"/>
          </w:tcPr>
          <w:p w14:paraId="0D7251BE" w14:textId="77777777" w:rsidR="00FF2D8F" w:rsidRPr="00E4790F" w:rsidRDefault="00FF2D8F" w:rsidP="004845C8">
            <w:pPr>
              <w:pStyle w:val="BodyText"/>
              <w:spacing w:before="140"/>
              <w:jc w:val="both"/>
              <w:rPr>
                <w:b/>
              </w:rPr>
            </w:pPr>
          </w:p>
        </w:tc>
        <w:tc>
          <w:tcPr>
            <w:tcW w:w="1462" w:type="dxa"/>
          </w:tcPr>
          <w:p w14:paraId="75B6AD81" w14:textId="77777777" w:rsidR="00FF2D8F" w:rsidRPr="00E4790F" w:rsidRDefault="00FF2D8F" w:rsidP="004845C8">
            <w:pPr>
              <w:pStyle w:val="BodyText"/>
              <w:spacing w:before="140"/>
              <w:jc w:val="both"/>
              <w:rPr>
                <w:b/>
              </w:rPr>
            </w:pPr>
          </w:p>
        </w:tc>
        <w:tc>
          <w:tcPr>
            <w:tcW w:w="1238" w:type="dxa"/>
          </w:tcPr>
          <w:p w14:paraId="7C2B12A3" w14:textId="77777777" w:rsidR="00FF2D8F" w:rsidRPr="00E4790F" w:rsidRDefault="00FF2D8F" w:rsidP="004845C8">
            <w:pPr>
              <w:pStyle w:val="BodyText"/>
              <w:spacing w:before="140"/>
              <w:jc w:val="both"/>
              <w:rPr>
                <w:b/>
              </w:rPr>
            </w:pPr>
          </w:p>
        </w:tc>
        <w:tc>
          <w:tcPr>
            <w:tcW w:w="1547" w:type="dxa"/>
          </w:tcPr>
          <w:p w14:paraId="1B770342" w14:textId="77777777" w:rsidR="00FF2D8F" w:rsidRPr="00E4790F" w:rsidRDefault="00FF2D8F" w:rsidP="004845C8">
            <w:pPr>
              <w:pStyle w:val="BodyText"/>
              <w:spacing w:before="140"/>
              <w:jc w:val="both"/>
              <w:rPr>
                <w:b/>
              </w:rPr>
            </w:pPr>
          </w:p>
        </w:tc>
      </w:tr>
    </w:tbl>
    <w:p w14:paraId="3F9747CE" w14:textId="77777777" w:rsidR="00E2638D" w:rsidRDefault="00E2638D" w:rsidP="00507523">
      <w:pPr>
        <w:pStyle w:val="BodyText"/>
        <w:spacing w:before="140"/>
      </w:pPr>
    </w:p>
    <w:p w14:paraId="42BBA37D" w14:textId="77777777" w:rsidR="00FF2D8F" w:rsidRDefault="00FF2D8F" w:rsidP="00A96608">
      <w:pPr>
        <w:pStyle w:val="BodyText"/>
        <w:spacing w:before="140"/>
        <w:rPr>
          <w:b/>
        </w:rPr>
      </w:pPr>
    </w:p>
    <w:p w14:paraId="2F93E235" w14:textId="77777777" w:rsidR="00FF2D8F" w:rsidRDefault="00FF2D8F" w:rsidP="00A96608">
      <w:pPr>
        <w:pStyle w:val="BodyText"/>
        <w:spacing w:before="140"/>
        <w:rPr>
          <w:b/>
        </w:rPr>
      </w:pPr>
    </w:p>
    <w:p w14:paraId="2D2CCD1C" w14:textId="77777777" w:rsidR="00FF2D8F" w:rsidRDefault="00FF2D8F" w:rsidP="00A96608">
      <w:pPr>
        <w:pStyle w:val="BodyText"/>
        <w:spacing w:before="140"/>
        <w:rPr>
          <w:b/>
        </w:rPr>
      </w:pPr>
    </w:p>
    <w:p w14:paraId="74DA8949" w14:textId="77777777" w:rsidR="00FF2D8F" w:rsidRDefault="00FF2D8F" w:rsidP="00A96608">
      <w:pPr>
        <w:pStyle w:val="BodyText"/>
        <w:spacing w:before="140"/>
        <w:rPr>
          <w:b/>
        </w:rPr>
      </w:pPr>
    </w:p>
    <w:p w14:paraId="4F68DE31" w14:textId="77777777" w:rsidR="00FF2D8F" w:rsidRDefault="00FF2D8F" w:rsidP="00A96608">
      <w:pPr>
        <w:pStyle w:val="BodyText"/>
        <w:spacing w:before="140"/>
        <w:rPr>
          <w:b/>
        </w:rPr>
      </w:pPr>
    </w:p>
    <w:p w14:paraId="572E898F" w14:textId="77777777" w:rsidR="00FF2D8F" w:rsidRDefault="00FF2D8F" w:rsidP="00A96608">
      <w:pPr>
        <w:pStyle w:val="BodyText"/>
        <w:spacing w:before="140"/>
        <w:rPr>
          <w:b/>
        </w:rPr>
      </w:pPr>
    </w:p>
    <w:p w14:paraId="16FF0335" w14:textId="77777777" w:rsidR="00FF2D8F" w:rsidRDefault="00FF2D8F" w:rsidP="00A96608">
      <w:pPr>
        <w:pStyle w:val="BodyText"/>
        <w:spacing w:before="140"/>
        <w:rPr>
          <w:b/>
        </w:rPr>
      </w:pPr>
    </w:p>
    <w:p w14:paraId="13D53692" w14:textId="77777777" w:rsidR="00FF2D8F" w:rsidRDefault="00FF2D8F" w:rsidP="00A96608">
      <w:pPr>
        <w:pStyle w:val="BodyText"/>
        <w:spacing w:before="140"/>
        <w:rPr>
          <w:b/>
        </w:rPr>
      </w:pPr>
    </w:p>
    <w:p w14:paraId="29AA6E19" w14:textId="502AC505" w:rsidR="00A96608" w:rsidRDefault="00A96608" w:rsidP="00A96608">
      <w:pPr>
        <w:pStyle w:val="BodyText"/>
        <w:spacing w:before="140"/>
        <w:rPr>
          <w:b/>
        </w:rPr>
      </w:pPr>
      <w:r>
        <w:rPr>
          <w:b/>
        </w:rPr>
        <w:lastRenderedPageBreak/>
        <w:t xml:space="preserve">Descriptive </w:t>
      </w:r>
      <w:proofErr w:type="gramStart"/>
      <w:r>
        <w:rPr>
          <w:b/>
        </w:rPr>
        <w:t>summary of</w:t>
      </w:r>
      <w:proofErr w:type="gramEnd"/>
      <w:r>
        <w:rPr>
          <w:b/>
        </w:rPr>
        <w:t xml:space="preserve"> explaining why the change from the original budget to the amended budget is warranted:</w:t>
      </w:r>
    </w:p>
    <w:tbl>
      <w:tblPr>
        <w:tblStyle w:val="TableGrid"/>
        <w:tblW w:w="0" w:type="auto"/>
        <w:tblInd w:w="496" w:type="dxa"/>
        <w:tblLook w:val="04A0" w:firstRow="1" w:lastRow="0" w:firstColumn="1" w:lastColumn="0" w:noHBand="0" w:noVBand="1"/>
      </w:tblPr>
      <w:tblGrid>
        <w:gridCol w:w="8854"/>
      </w:tblGrid>
      <w:tr w:rsidR="00A96608" w14:paraId="6738DB72" w14:textId="77777777" w:rsidTr="00A96608">
        <w:trPr>
          <w:trHeight w:val="4040"/>
        </w:trPr>
        <w:tc>
          <w:tcPr>
            <w:tcW w:w="8854" w:type="dxa"/>
            <w:tcBorders>
              <w:top w:val="single" w:sz="4" w:space="0" w:color="auto"/>
              <w:left w:val="single" w:sz="4" w:space="0" w:color="auto"/>
              <w:bottom w:val="single" w:sz="4" w:space="0" w:color="auto"/>
              <w:right w:val="single" w:sz="4" w:space="0" w:color="auto"/>
            </w:tcBorders>
          </w:tcPr>
          <w:p w14:paraId="0A4E7AC5" w14:textId="77777777" w:rsidR="00A96608" w:rsidRDefault="00A96608">
            <w:pPr>
              <w:pStyle w:val="BodyText"/>
              <w:spacing w:before="140"/>
              <w:ind w:left="136"/>
              <w:rPr>
                <w:b/>
              </w:rPr>
            </w:pPr>
          </w:p>
          <w:p w14:paraId="7FC88831" w14:textId="77777777" w:rsidR="00A96608" w:rsidRDefault="00A96608">
            <w:pPr>
              <w:pStyle w:val="BodyText"/>
              <w:spacing w:before="140"/>
              <w:ind w:left="136"/>
              <w:rPr>
                <w:b/>
              </w:rPr>
            </w:pPr>
          </w:p>
          <w:p w14:paraId="4B1DBB95" w14:textId="77777777" w:rsidR="00A96608" w:rsidRDefault="00A96608">
            <w:pPr>
              <w:pStyle w:val="BodyText"/>
              <w:spacing w:before="140"/>
              <w:ind w:left="136"/>
              <w:rPr>
                <w:b/>
              </w:rPr>
            </w:pPr>
          </w:p>
          <w:p w14:paraId="4EB21FAA" w14:textId="77777777" w:rsidR="00A96608" w:rsidRDefault="00A96608">
            <w:pPr>
              <w:pStyle w:val="BodyText"/>
              <w:spacing w:before="140"/>
              <w:ind w:left="136"/>
              <w:rPr>
                <w:b/>
              </w:rPr>
            </w:pPr>
          </w:p>
          <w:p w14:paraId="2275A31D" w14:textId="77777777" w:rsidR="00A96608" w:rsidRDefault="00A96608">
            <w:pPr>
              <w:pStyle w:val="BodyText"/>
              <w:spacing w:before="140"/>
              <w:ind w:left="136"/>
              <w:rPr>
                <w:b/>
              </w:rPr>
            </w:pPr>
          </w:p>
          <w:p w14:paraId="15FF47A9" w14:textId="77777777" w:rsidR="00A96608" w:rsidRDefault="00A96608">
            <w:pPr>
              <w:pStyle w:val="BodyText"/>
              <w:spacing w:before="140"/>
              <w:ind w:left="136"/>
              <w:rPr>
                <w:b/>
              </w:rPr>
            </w:pPr>
          </w:p>
          <w:p w14:paraId="7D6CD3BD" w14:textId="77777777" w:rsidR="00A96608" w:rsidRDefault="00A96608">
            <w:pPr>
              <w:pStyle w:val="BodyText"/>
              <w:spacing w:before="140"/>
              <w:ind w:left="136"/>
              <w:rPr>
                <w:b/>
              </w:rPr>
            </w:pPr>
          </w:p>
          <w:p w14:paraId="53040673" w14:textId="77777777" w:rsidR="00A96608" w:rsidRDefault="00A96608">
            <w:pPr>
              <w:pStyle w:val="BodyText"/>
              <w:spacing w:before="140"/>
              <w:ind w:left="136"/>
              <w:rPr>
                <w:b/>
              </w:rPr>
            </w:pPr>
            <w:r>
              <w:rPr>
                <w:b/>
              </w:rPr>
              <w:t xml:space="preserve"> </w:t>
            </w:r>
          </w:p>
          <w:p w14:paraId="5C784F4E" w14:textId="77777777" w:rsidR="00A96608" w:rsidRDefault="00A96608">
            <w:pPr>
              <w:pStyle w:val="BodyText"/>
              <w:spacing w:before="140"/>
              <w:ind w:left="136"/>
              <w:rPr>
                <w:b/>
              </w:rPr>
            </w:pPr>
          </w:p>
          <w:p w14:paraId="0E8741E6" w14:textId="77777777" w:rsidR="00A96608" w:rsidRDefault="00A96608">
            <w:pPr>
              <w:pStyle w:val="BodyText"/>
              <w:spacing w:before="140"/>
              <w:ind w:left="136"/>
              <w:rPr>
                <w:b/>
              </w:rPr>
            </w:pPr>
          </w:p>
          <w:p w14:paraId="75F7D0DE" w14:textId="77777777" w:rsidR="00A96608" w:rsidRDefault="00A96608">
            <w:pPr>
              <w:pStyle w:val="BodyText"/>
              <w:spacing w:before="140"/>
              <w:ind w:left="136"/>
              <w:rPr>
                <w:b/>
              </w:rPr>
            </w:pPr>
          </w:p>
          <w:p w14:paraId="3F14DD51" w14:textId="77777777" w:rsidR="00A96608" w:rsidRDefault="00A96608">
            <w:pPr>
              <w:pStyle w:val="BodyText"/>
              <w:spacing w:before="140"/>
              <w:ind w:left="136"/>
              <w:rPr>
                <w:b/>
              </w:rPr>
            </w:pPr>
          </w:p>
          <w:p w14:paraId="1E7B5241" w14:textId="77777777" w:rsidR="00A96608" w:rsidRDefault="00A96608">
            <w:pPr>
              <w:pStyle w:val="BodyText"/>
              <w:spacing w:before="140"/>
              <w:ind w:left="136"/>
              <w:rPr>
                <w:b/>
              </w:rPr>
            </w:pPr>
          </w:p>
          <w:p w14:paraId="7C0F5BAE" w14:textId="77777777" w:rsidR="00A96608" w:rsidRDefault="00A96608">
            <w:pPr>
              <w:pStyle w:val="BodyText"/>
              <w:spacing w:before="140"/>
              <w:ind w:left="136"/>
              <w:rPr>
                <w:b/>
              </w:rPr>
            </w:pPr>
          </w:p>
          <w:p w14:paraId="743D1AC5" w14:textId="77777777" w:rsidR="00A96608" w:rsidRDefault="00A96608">
            <w:pPr>
              <w:pStyle w:val="BodyText"/>
              <w:spacing w:before="140"/>
              <w:ind w:left="136"/>
              <w:rPr>
                <w:b/>
              </w:rPr>
            </w:pPr>
          </w:p>
        </w:tc>
      </w:tr>
    </w:tbl>
    <w:p w14:paraId="0B478334" w14:textId="77777777" w:rsidR="00A96608" w:rsidRDefault="00A96608" w:rsidP="00507523">
      <w:pPr>
        <w:pStyle w:val="BodyText"/>
        <w:spacing w:before="140"/>
      </w:pPr>
    </w:p>
    <w:p w14:paraId="51810CC0" w14:textId="77777777" w:rsidR="00A96608" w:rsidRDefault="00A96608" w:rsidP="00507523">
      <w:pPr>
        <w:pStyle w:val="BodyText"/>
        <w:spacing w:before="140"/>
      </w:pPr>
    </w:p>
    <w:p w14:paraId="5ED2F7B1" w14:textId="77777777" w:rsidR="00A96608" w:rsidRPr="000B1679" w:rsidRDefault="00A96608" w:rsidP="00507523">
      <w:pPr>
        <w:pStyle w:val="BodyText"/>
        <w:spacing w:before="140"/>
      </w:pPr>
    </w:p>
    <w:p w14:paraId="5E752840" w14:textId="77777777" w:rsidR="00D90253" w:rsidRPr="000B1679" w:rsidRDefault="000B1679" w:rsidP="00507523">
      <w:pPr>
        <w:pStyle w:val="BodyText"/>
        <w:spacing w:before="140"/>
        <w:rPr>
          <w:u w:val="single"/>
        </w:rPr>
      </w:pPr>
      <w:proofErr w:type="gramStart"/>
      <w:r w:rsidRPr="000B1679">
        <w:t>By:</w:t>
      </w:r>
      <w:proofErr w:type="gramEnd"/>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4F960F1E" w14:textId="77777777" w:rsidR="000B1679" w:rsidRPr="000B1679" w:rsidRDefault="000B1679" w:rsidP="00507523">
      <w:pPr>
        <w:pStyle w:val="BodyText"/>
        <w:spacing w:before="140"/>
        <w:rPr>
          <w:u w:val="single"/>
        </w:rPr>
      </w:pPr>
    </w:p>
    <w:p w14:paraId="4ACED301" w14:textId="77777777" w:rsidR="000B1679" w:rsidRPr="000B1679" w:rsidRDefault="000B1679" w:rsidP="00507523">
      <w:pPr>
        <w:pStyle w:val="BodyText"/>
        <w:spacing w:before="140"/>
        <w:rPr>
          <w:u w:val="single"/>
        </w:rPr>
      </w:pPr>
      <w:r w:rsidRPr="000B1679">
        <w:t>Authorized Physical Signature: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p>
    <w:p w14:paraId="7B81B6C9" w14:textId="77777777" w:rsidR="000B1679" w:rsidRPr="000B1679" w:rsidRDefault="000B1679" w:rsidP="00507523">
      <w:pPr>
        <w:pStyle w:val="BodyText"/>
        <w:spacing w:before="140"/>
        <w:rPr>
          <w:u w:val="single"/>
        </w:rPr>
      </w:pPr>
      <w:r w:rsidRPr="000B1679">
        <w:t xml:space="preserve">Title:  </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3A4E2CAA" w14:textId="77777777" w:rsidR="000B1679" w:rsidRPr="000B1679" w:rsidRDefault="000B1679" w:rsidP="00507523">
      <w:pPr>
        <w:pStyle w:val="BodyText"/>
        <w:spacing w:before="140"/>
        <w:rPr>
          <w:u w:val="single"/>
        </w:rPr>
      </w:pPr>
      <w:r w:rsidRPr="000B1679">
        <w:t>Date: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sectPr w:rsidR="000B1679" w:rsidRPr="000B1679" w:rsidSect="00F972B5">
      <w:type w:val="continuous"/>
      <w:pgSz w:w="12240" w:h="15840"/>
      <w:pgMar w:top="720" w:right="1440" w:bottom="72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6061" w14:textId="77777777" w:rsidR="009C02C7" w:rsidRDefault="009C02C7" w:rsidP="009C02C7">
      <w:r>
        <w:separator/>
      </w:r>
    </w:p>
  </w:endnote>
  <w:endnote w:type="continuationSeparator" w:id="0">
    <w:p w14:paraId="61490D09" w14:textId="77777777"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90988" w14:textId="77777777" w:rsidR="009C02C7" w:rsidRDefault="009C02C7" w:rsidP="009C02C7">
      <w:r>
        <w:separator/>
      </w:r>
    </w:p>
  </w:footnote>
  <w:footnote w:type="continuationSeparator" w:id="0">
    <w:p w14:paraId="1E34ED2B" w14:textId="77777777"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2ED"/>
    <w:multiLevelType w:val="hybridMultilevel"/>
    <w:tmpl w:val="311A3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0038CD"/>
    <w:multiLevelType w:val="hybridMultilevel"/>
    <w:tmpl w:val="CB5ADF60"/>
    <w:lvl w:ilvl="0" w:tplc="2062B1BC">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3" w15:restartNumberingAfterBreak="0">
    <w:nsid w:val="66B462DB"/>
    <w:multiLevelType w:val="hybridMultilevel"/>
    <w:tmpl w:val="BAF84CEA"/>
    <w:lvl w:ilvl="0" w:tplc="07D0F884">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046127">
    <w:abstractNumId w:val="2"/>
  </w:num>
  <w:num w:numId="2" w16cid:durableId="758671993">
    <w:abstractNumId w:val="1"/>
  </w:num>
  <w:num w:numId="3" w16cid:durableId="1437603650">
    <w:abstractNumId w:val="3"/>
  </w:num>
  <w:num w:numId="4" w16cid:durableId="652296970">
    <w:abstractNumId w:val="4"/>
  </w:num>
  <w:num w:numId="5" w16cid:durableId="20390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B1679"/>
    <w:rsid w:val="000F30A1"/>
    <w:rsid w:val="0015772A"/>
    <w:rsid w:val="001A3C58"/>
    <w:rsid w:val="001C2616"/>
    <w:rsid w:val="002F275F"/>
    <w:rsid w:val="0037018C"/>
    <w:rsid w:val="003E726E"/>
    <w:rsid w:val="00507523"/>
    <w:rsid w:val="00547B2C"/>
    <w:rsid w:val="005E73C2"/>
    <w:rsid w:val="006529A9"/>
    <w:rsid w:val="006818BC"/>
    <w:rsid w:val="006C1CEC"/>
    <w:rsid w:val="006D5A6E"/>
    <w:rsid w:val="00720613"/>
    <w:rsid w:val="007924D0"/>
    <w:rsid w:val="007E463C"/>
    <w:rsid w:val="009C02C7"/>
    <w:rsid w:val="00A57FE2"/>
    <w:rsid w:val="00A6158E"/>
    <w:rsid w:val="00A96608"/>
    <w:rsid w:val="00B7675D"/>
    <w:rsid w:val="00C65688"/>
    <w:rsid w:val="00D90253"/>
    <w:rsid w:val="00D9451C"/>
    <w:rsid w:val="00DF7C05"/>
    <w:rsid w:val="00E2638D"/>
    <w:rsid w:val="00E4790F"/>
    <w:rsid w:val="00E72504"/>
    <w:rsid w:val="00F972B5"/>
    <w:rsid w:val="00FC35FE"/>
    <w:rsid w:val="00FD2CF7"/>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B41B10"/>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A1"/>
    <w:rPr>
      <w:rFonts w:ascii="Segoe UI" w:eastAsia="Times New Roman" w:hAnsi="Segoe UI" w:cs="Segoe UI"/>
      <w:sz w:val="18"/>
      <w:szCs w:val="18"/>
    </w:rPr>
  </w:style>
  <w:style w:type="character" w:styleId="Hyperlink">
    <w:name w:val="Hyperlink"/>
    <w:basedOn w:val="DefaultParagraphFont"/>
    <w:uiPriority w:val="99"/>
    <w:unhideWhenUsed/>
    <w:rsid w:val="00F972B5"/>
    <w:rPr>
      <w:color w:val="0000FF"/>
      <w:u w:val="single"/>
    </w:rPr>
  </w:style>
  <w:style w:type="character" w:customStyle="1" w:styleId="BodyTextChar">
    <w:name w:val="Body Text Char"/>
    <w:basedOn w:val="DefaultParagraphFont"/>
    <w:link w:val="BodyText"/>
    <w:uiPriority w:val="1"/>
    <w:rsid w:val="00FF2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8162">
      <w:bodyDiv w:val="1"/>
      <w:marLeft w:val="0"/>
      <w:marRight w:val="0"/>
      <w:marTop w:val="0"/>
      <w:marBottom w:val="0"/>
      <w:divBdr>
        <w:top w:val="none" w:sz="0" w:space="0" w:color="auto"/>
        <w:left w:val="none" w:sz="0" w:space="0" w:color="auto"/>
        <w:bottom w:val="none" w:sz="0" w:space="0" w:color="auto"/>
        <w:right w:val="none" w:sz="0" w:space="0" w:color="auto"/>
      </w:divBdr>
    </w:div>
    <w:div w:id="691998073">
      <w:bodyDiv w:val="1"/>
      <w:marLeft w:val="0"/>
      <w:marRight w:val="0"/>
      <w:marTop w:val="0"/>
      <w:marBottom w:val="0"/>
      <w:divBdr>
        <w:top w:val="none" w:sz="0" w:space="0" w:color="auto"/>
        <w:left w:val="none" w:sz="0" w:space="0" w:color="auto"/>
        <w:bottom w:val="none" w:sz="0" w:space="0" w:color="auto"/>
        <w:right w:val="none" w:sz="0" w:space="0" w:color="auto"/>
      </w:divBdr>
    </w:div>
    <w:div w:id="8337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treasury.gov/system/files/136/SLFRF-Final-Rule-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4</cp:revision>
  <cp:lastPrinted>2022-07-08T14:31:00Z</cp:lastPrinted>
  <dcterms:created xsi:type="dcterms:W3CDTF">2024-12-13T22:52:00Z</dcterms:created>
  <dcterms:modified xsi:type="dcterms:W3CDTF">2024-12-13T23:03:00Z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